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A80BBF" w14:textId="77777777" w:rsidR="002834F1" w:rsidRPr="002834F1" w:rsidRDefault="002834F1" w:rsidP="002834F1">
      <w:pPr>
        <w:spacing w:after="0" w:line="840" w:lineRule="atLeast"/>
        <w:outlineLvl w:val="2"/>
        <w:rPr>
          <w:rFonts w:ascii="Gilroy-Heavy" w:eastAsia="Times New Roman" w:hAnsi="Gilroy-Heavy" w:cs="Times New Roman"/>
          <w:color w:val="052049"/>
          <w:kern w:val="0"/>
          <w:sz w:val="53"/>
          <w:szCs w:val="53"/>
          <w:lang w:eastAsia="en-IE"/>
          <w14:ligatures w14:val="none"/>
        </w:rPr>
      </w:pPr>
      <w:r w:rsidRPr="002834F1">
        <w:rPr>
          <w:rFonts w:ascii="Gilroy-Heavy" w:eastAsia="Times New Roman" w:hAnsi="Gilroy-Heavy" w:cs="Times New Roman"/>
          <w:color w:val="052049"/>
          <w:kern w:val="0"/>
          <w:sz w:val="53"/>
          <w:szCs w:val="53"/>
          <w:lang w:eastAsia="en-IE"/>
          <w14:ligatures w14:val="none"/>
        </w:rPr>
        <w:t xml:space="preserve">AXA Insurance </w:t>
      </w:r>
      <w:proofErr w:type="spellStart"/>
      <w:r w:rsidRPr="002834F1">
        <w:rPr>
          <w:rFonts w:ascii="Gilroy-Heavy" w:eastAsia="Times New Roman" w:hAnsi="Gilroy-Heavy" w:cs="Times New Roman"/>
          <w:color w:val="052049"/>
          <w:kern w:val="0"/>
          <w:sz w:val="53"/>
          <w:szCs w:val="53"/>
          <w:lang w:eastAsia="en-IE"/>
          <w14:ligatures w14:val="none"/>
        </w:rPr>
        <w:t>dac</w:t>
      </w:r>
      <w:proofErr w:type="spellEnd"/>
    </w:p>
    <w:p w14:paraId="67D77C1F" w14:textId="77777777" w:rsidR="002834F1" w:rsidRPr="002834F1" w:rsidRDefault="002834F1" w:rsidP="002834F1">
      <w:pPr>
        <w:spacing w:after="0" w:line="240" w:lineRule="auto"/>
        <w:rPr>
          <w:rFonts w:ascii="Gilroy-Regular" w:eastAsia="Times New Roman" w:hAnsi="Gilroy-Regular"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pict w14:anchorId="74BAA064">
          <v:rect id="_x0000_i1025" style="width:0;height:1.5pt" o:hralign="center" o:hrstd="t" o:hrnoshade="t" o:hr="t" fillcolor="black" stroked="f"/>
        </w:pict>
      </w:r>
    </w:p>
    <w:p w14:paraId="4ED1A615" w14:textId="77777777" w:rsidR="002834F1" w:rsidRDefault="002834F1" w:rsidP="002834F1">
      <w:pPr>
        <w:spacing w:before="150" w:after="255" w:line="480" w:lineRule="atLeast"/>
        <w:outlineLvl w:val="3"/>
        <w:rPr>
          <w:rFonts w:ascii="Gilroy-Bold" w:eastAsia="Times New Roman" w:hAnsi="Gilroy-Bold" w:cs="Times New Roman"/>
          <w:color w:val="052049"/>
          <w:kern w:val="0"/>
          <w:sz w:val="45"/>
          <w:szCs w:val="45"/>
          <w:lang w:eastAsia="en-IE"/>
          <w14:ligatures w14:val="none"/>
        </w:rPr>
      </w:pPr>
      <w:r w:rsidRPr="002834F1">
        <w:rPr>
          <w:rFonts w:ascii="Gilroy-Bold" w:eastAsia="Times New Roman" w:hAnsi="Gilroy-Bold" w:cs="Times New Roman"/>
          <w:color w:val="052049"/>
          <w:kern w:val="0"/>
          <w:sz w:val="45"/>
          <w:szCs w:val="45"/>
          <w:lang w:eastAsia="en-IE"/>
          <w14:ligatures w14:val="none"/>
        </w:rPr>
        <w:t>Liability</w:t>
      </w:r>
    </w:p>
    <w:p w14:paraId="190EC1F1" w14:textId="30ABEDE1" w:rsidR="002834F1" w:rsidRDefault="002834F1" w:rsidP="002834F1">
      <w:pPr>
        <w:pStyle w:val="NoSpacing"/>
        <w:rPr>
          <w:lang w:eastAsia="en-IE"/>
        </w:rPr>
      </w:pPr>
      <w:r w:rsidRPr="002834F1">
        <w:rPr>
          <w:lang w:eastAsia="en-IE"/>
        </w:rPr>
        <w:t>Typically for this product only an annualised commission is paid out. There can be cases whereby an additional admin or service fee is required, which is disclosed and agreed by the client(s).</w:t>
      </w:r>
    </w:p>
    <w:p w14:paraId="50108DF8" w14:textId="77777777" w:rsidR="002834F1" w:rsidRPr="002834F1" w:rsidRDefault="002834F1" w:rsidP="002834F1">
      <w:pPr>
        <w:pStyle w:val="NoSpacing"/>
        <w:rPr>
          <w:rFonts w:ascii="Gilroy-Bold" w:hAnsi="Gilroy-Bold"/>
          <w:sz w:val="45"/>
          <w:szCs w:val="45"/>
          <w:lang w:eastAsia="en-IE"/>
        </w:rPr>
      </w:pPr>
    </w:p>
    <w:tbl>
      <w:tblPr>
        <w:tblW w:w="0" w:type="auto"/>
        <w:tblCellSpacing w:w="15" w:type="dxa"/>
        <w:tblCellMar>
          <w:left w:w="0" w:type="dxa"/>
          <w:bottom w:w="450" w:type="dxa"/>
          <w:right w:w="0" w:type="dxa"/>
        </w:tblCellMar>
        <w:tblLook w:val="04A0" w:firstRow="1" w:lastRow="0" w:firstColumn="1" w:lastColumn="0" w:noHBand="0" w:noVBand="1"/>
      </w:tblPr>
      <w:tblGrid>
        <w:gridCol w:w="2025"/>
        <w:gridCol w:w="2092"/>
      </w:tblGrid>
      <w:tr w:rsidR="002834F1" w:rsidRPr="002834F1" w14:paraId="6B93637F" w14:textId="77777777" w:rsidTr="002834F1">
        <w:trPr>
          <w:tblCellSpacing w:w="15" w:type="dxa"/>
        </w:trPr>
        <w:tc>
          <w:tcPr>
            <w:tcW w:w="0" w:type="auto"/>
            <w:shd w:val="clear" w:color="auto" w:fill="828282"/>
            <w:tcMar>
              <w:top w:w="240" w:type="dxa"/>
              <w:left w:w="240" w:type="dxa"/>
              <w:bottom w:w="240" w:type="dxa"/>
              <w:right w:w="240" w:type="dxa"/>
            </w:tcMar>
            <w:vAlign w:val="center"/>
            <w:hideMark/>
          </w:tcPr>
          <w:p w14:paraId="6632F36B" w14:textId="77777777" w:rsidR="002834F1" w:rsidRPr="002834F1" w:rsidRDefault="002834F1" w:rsidP="002834F1">
            <w:pPr>
              <w:spacing w:after="0" w:line="240" w:lineRule="auto"/>
              <w:rPr>
                <w:rFonts w:ascii="Times New Roman" w:eastAsia="Times New Roman" w:hAnsi="Times New Roman" w:cs="Times New Roman"/>
                <w:b/>
                <w:bCs/>
                <w:color w:val="FFFFFF"/>
                <w:kern w:val="0"/>
                <w:sz w:val="24"/>
                <w:szCs w:val="24"/>
                <w:lang w:eastAsia="en-IE"/>
                <w14:ligatures w14:val="none"/>
              </w:rPr>
            </w:pPr>
            <w:r w:rsidRPr="002834F1">
              <w:rPr>
                <w:rFonts w:ascii="Times New Roman" w:eastAsia="Times New Roman" w:hAnsi="Times New Roman" w:cs="Times New Roman"/>
                <w:b/>
                <w:bCs/>
                <w:color w:val="FFFFFF"/>
                <w:kern w:val="0"/>
                <w:sz w:val="24"/>
                <w:szCs w:val="24"/>
                <w:lang w:eastAsia="en-IE"/>
                <w14:ligatures w14:val="none"/>
              </w:rPr>
              <w:t>Product</w:t>
            </w:r>
          </w:p>
        </w:tc>
        <w:tc>
          <w:tcPr>
            <w:tcW w:w="0" w:type="auto"/>
            <w:shd w:val="clear" w:color="auto" w:fill="828282"/>
            <w:tcMar>
              <w:top w:w="240" w:type="dxa"/>
              <w:left w:w="240" w:type="dxa"/>
              <w:bottom w:w="240" w:type="dxa"/>
              <w:right w:w="240" w:type="dxa"/>
            </w:tcMar>
            <w:vAlign w:val="center"/>
            <w:hideMark/>
          </w:tcPr>
          <w:p w14:paraId="4BB14AE7" w14:textId="77777777" w:rsidR="002834F1" w:rsidRPr="002834F1" w:rsidRDefault="002834F1" w:rsidP="002834F1">
            <w:pPr>
              <w:spacing w:after="0" w:line="240" w:lineRule="auto"/>
              <w:jc w:val="center"/>
              <w:rPr>
                <w:rFonts w:ascii="Times New Roman" w:eastAsia="Times New Roman" w:hAnsi="Times New Roman" w:cs="Times New Roman"/>
                <w:b/>
                <w:bCs/>
                <w:color w:val="FFFFFF"/>
                <w:kern w:val="0"/>
                <w:sz w:val="24"/>
                <w:szCs w:val="24"/>
                <w:lang w:eastAsia="en-IE"/>
                <w14:ligatures w14:val="none"/>
              </w:rPr>
            </w:pPr>
            <w:r w:rsidRPr="002834F1">
              <w:rPr>
                <w:rFonts w:ascii="Times New Roman" w:eastAsia="Times New Roman" w:hAnsi="Times New Roman" w:cs="Times New Roman"/>
                <w:b/>
                <w:bCs/>
                <w:color w:val="FFFFFF"/>
                <w:kern w:val="0"/>
                <w:sz w:val="24"/>
                <w:szCs w:val="24"/>
                <w:lang w:eastAsia="en-IE"/>
                <w14:ligatures w14:val="none"/>
              </w:rPr>
              <w:t>Commission %</w:t>
            </w:r>
          </w:p>
        </w:tc>
      </w:tr>
      <w:tr w:rsidR="002834F1" w:rsidRPr="002834F1" w14:paraId="4DD446C0"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105CE857"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Public Liability</w:t>
            </w:r>
          </w:p>
        </w:tc>
        <w:tc>
          <w:tcPr>
            <w:tcW w:w="0" w:type="auto"/>
            <w:shd w:val="clear" w:color="auto" w:fill="F0F0F0"/>
            <w:tcMar>
              <w:top w:w="240" w:type="dxa"/>
              <w:left w:w="240" w:type="dxa"/>
              <w:bottom w:w="120" w:type="dxa"/>
              <w:right w:w="240" w:type="dxa"/>
            </w:tcMar>
            <w:vAlign w:val="center"/>
            <w:hideMark/>
          </w:tcPr>
          <w:p w14:paraId="574A05FB"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20%</w:t>
            </w:r>
          </w:p>
        </w:tc>
      </w:tr>
    </w:tbl>
    <w:p w14:paraId="302D76C6" w14:textId="77777777" w:rsidR="002834F1" w:rsidRDefault="002834F1" w:rsidP="002834F1">
      <w:pPr>
        <w:spacing w:before="150" w:after="255" w:line="480" w:lineRule="atLeast"/>
        <w:outlineLvl w:val="3"/>
        <w:rPr>
          <w:rFonts w:ascii="Gilroy-Bold" w:eastAsia="Times New Roman" w:hAnsi="Gilroy-Bold" w:cs="Times New Roman"/>
          <w:color w:val="052049"/>
          <w:kern w:val="0"/>
          <w:sz w:val="45"/>
          <w:szCs w:val="45"/>
          <w:lang w:eastAsia="en-IE"/>
          <w14:ligatures w14:val="none"/>
        </w:rPr>
      </w:pPr>
    </w:p>
    <w:p w14:paraId="4AB27B86" w14:textId="26233824" w:rsidR="002834F1" w:rsidRPr="002834F1" w:rsidRDefault="002834F1" w:rsidP="002834F1">
      <w:pPr>
        <w:spacing w:before="150" w:after="255" w:line="480" w:lineRule="atLeast"/>
        <w:outlineLvl w:val="3"/>
        <w:rPr>
          <w:rFonts w:ascii="Gilroy-Bold" w:eastAsia="Times New Roman" w:hAnsi="Gilroy-Bold" w:cs="Times New Roman"/>
          <w:color w:val="052049"/>
          <w:kern w:val="0"/>
          <w:sz w:val="45"/>
          <w:szCs w:val="45"/>
          <w:lang w:eastAsia="en-IE"/>
          <w14:ligatures w14:val="none"/>
        </w:rPr>
      </w:pPr>
      <w:r w:rsidRPr="002834F1">
        <w:rPr>
          <w:rFonts w:ascii="Gilroy-Bold" w:eastAsia="Times New Roman" w:hAnsi="Gilroy-Bold" w:cs="Times New Roman"/>
          <w:color w:val="052049"/>
          <w:kern w:val="0"/>
          <w:sz w:val="45"/>
          <w:szCs w:val="45"/>
          <w:lang w:eastAsia="en-IE"/>
          <w14:ligatures w14:val="none"/>
        </w:rPr>
        <w:t>Commercial</w:t>
      </w:r>
    </w:p>
    <w:p w14:paraId="3C399E32" w14:textId="77777777" w:rsidR="002834F1" w:rsidRDefault="002834F1" w:rsidP="002834F1">
      <w:pPr>
        <w:pStyle w:val="NoSpacing"/>
        <w:rPr>
          <w:lang w:eastAsia="en-IE"/>
        </w:rPr>
      </w:pPr>
      <w:r w:rsidRPr="002834F1">
        <w:rPr>
          <w:lang w:eastAsia="en-IE"/>
        </w:rPr>
        <w:t>Typically for this product only an annualised commission is paid out. There can be cases whereby an additional admin or service fee is required, which is disclosed and agreed by the client(s).</w:t>
      </w:r>
    </w:p>
    <w:p w14:paraId="3661174B" w14:textId="77777777" w:rsidR="002834F1" w:rsidRPr="002834F1" w:rsidRDefault="002834F1" w:rsidP="002834F1">
      <w:pPr>
        <w:pStyle w:val="NoSpacing"/>
        <w:rPr>
          <w:lang w:eastAsia="en-IE"/>
        </w:rPr>
      </w:pPr>
    </w:p>
    <w:tbl>
      <w:tblPr>
        <w:tblW w:w="0" w:type="auto"/>
        <w:tblCellSpacing w:w="15" w:type="dxa"/>
        <w:tblCellMar>
          <w:left w:w="0" w:type="dxa"/>
          <w:bottom w:w="450" w:type="dxa"/>
          <w:right w:w="0" w:type="dxa"/>
        </w:tblCellMar>
        <w:tblLook w:val="04A0" w:firstRow="1" w:lastRow="0" w:firstColumn="1" w:lastColumn="0" w:noHBand="0" w:noVBand="1"/>
      </w:tblPr>
      <w:tblGrid>
        <w:gridCol w:w="3497"/>
        <w:gridCol w:w="2092"/>
      </w:tblGrid>
      <w:tr w:rsidR="002834F1" w:rsidRPr="002834F1" w14:paraId="34AB0906" w14:textId="77777777" w:rsidTr="002834F1">
        <w:trPr>
          <w:tblCellSpacing w:w="15" w:type="dxa"/>
        </w:trPr>
        <w:tc>
          <w:tcPr>
            <w:tcW w:w="0" w:type="auto"/>
            <w:shd w:val="clear" w:color="auto" w:fill="828282"/>
            <w:tcMar>
              <w:top w:w="240" w:type="dxa"/>
              <w:left w:w="240" w:type="dxa"/>
              <w:bottom w:w="240" w:type="dxa"/>
              <w:right w:w="240" w:type="dxa"/>
            </w:tcMar>
            <w:vAlign w:val="center"/>
            <w:hideMark/>
          </w:tcPr>
          <w:p w14:paraId="0976A7D4" w14:textId="77777777" w:rsidR="002834F1" w:rsidRPr="002834F1" w:rsidRDefault="002834F1" w:rsidP="002834F1">
            <w:pPr>
              <w:spacing w:after="0" w:line="240" w:lineRule="auto"/>
              <w:rPr>
                <w:rFonts w:ascii="Times New Roman" w:eastAsia="Times New Roman" w:hAnsi="Times New Roman" w:cs="Times New Roman"/>
                <w:b/>
                <w:bCs/>
                <w:color w:val="FFFFFF"/>
                <w:kern w:val="0"/>
                <w:sz w:val="24"/>
                <w:szCs w:val="24"/>
                <w:lang w:eastAsia="en-IE"/>
                <w14:ligatures w14:val="none"/>
              </w:rPr>
            </w:pPr>
            <w:r w:rsidRPr="002834F1">
              <w:rPr>
                <w:rFonts w:ascii="Times New Roman" w:eastAsia="Times New Roman" w:hAnsi="Times New Roman" w:cs="Times New Roman"/>
                <w:b/>
                <w:bCs/>
                <w:color w:val="FFFFFF"/>
                <w:kern w:val="0"/>
                <w:sz w:val="24"/>
                <w:szCs w:val="24"/>
                <w:lang w:eastAsia="en-IE"/>
                <w14:ligatures w14:val="none"/>
              </w:rPr>
              <w:t>Product</w:t>
            </w:r>
          </w:p>
        </w:tc>
        <w:tc>
          <w:tcPr>
            <w:tcW w:w="0" w:type="auto"/>
            <w:shd w:val="clear" w:color="auto" w:fill="828282"/>
            <w:tcMar>
              <w:top w:w="240" w:type="dxa"/>
              <w:left w:w="240" w:type="dxa"/>
              <w:bottom w:w="240" w:type="dxa"/>
              <w:right w:w="240" w:type="dxa"/>
            </w:tcMar>
            <w:vAlign w:val="center"/>
            <w:hideMark/>
          </w:tcPr>
          <w:p w14:paraId="28112451" w14:textId="77777777" w:rsidR="002834F1" w:rsidRPr="002834F1" w:rsidRDefault="002834F1" w:rsidP="002834F1">
            <w:pPr>
              <w:spacing w:after="0" w:line="240" w:lineRule="auto"/>
              <w:jc w:val="center"/>
              <w:rPr>
                <w:rFonts w:ascii="Times New Roman" w:eastAsia="Times New Roman" w:hAnsi="Times New Roman" w:cs="Times New Roman"/>
                <w:b/>
                <w:bCs/>
                <w:color w:val="FFFFFF"/>
                <w:kern w:val="0"/>
                <w:sz w:val="24"/>
                <w:szCs w:val="24"/>
                <w:lang w:eastAsia="en-IE"/>
                <w14:ligatures w14:val="none"/>
              </w:rPr>
            </w:pPr>
            <w:r w:rsidRPr="002834F1">
              <w:rPr>
                <w:rFonts w:ascii="Times New Roman" w:eastAsia="Times New Roman" w:hAnsi="Times New Roman" w:cs="Times New Roman"/>
                <w:b/>
                <w:bCs/>
                <w:color w:val="FFFFFF"/>
                <w:kern w:val="0"/>
                <w:sz w:val="24"/>
                <w:szCs w:val="24"/>
                <w:lang w:eastAsia="en-IE"/>
                <w14:ligatures w14:val="none"/>
              </w:rPr>
              <w:t>Commission %</w:t>
            </w:r>
          </w:p>
        </w:tc>
      </w:tr>
      <w:tr w:rsidR="002834F1" w:rsidRPr="002834F1" w14:paraId="03433BA1"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2085FD9A"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Agricultural Vehicle Insurance</w:t>
            </w:r>
          </w:p>
        </w:tc>
        <w:tc>
          <w:tcPr>
            <w:tcW w:w="0" w:type="auto"/>
            <w:shd w:val="clear" w:color="auto" w:fill="F0F0F0"/>
            <w:tcMar>
              <w:top w:w="240" w:type="dxa"/>
              <w:left w:w="240" w:type="dxa"/>
              <w:bottom w:w="120" w:type="dxa"/>
              <w:right w:w="240" w:type="dxa"/>
            </w:tcMar>
            <w:vAlign w:val="center"/>
            <w:hideMark/>
          </w:tcPr>
          <w:p w14:paraId="4F5ECF4A"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12.5%</w:t>
            </w:r>
          </w:p>
        </w:tc>
      </w:tr>
      <w:tr w:rsidR="002834F1" w:rsidRPr="002834F1" w14:paraId="13F87DE7" w14:textId="77777777" w:rsidTr="002834F1">
        <w:trPr>
          <w:tblCellSpacing w:w="15" w:type="dxa"/>
        </w:trPr>
        <w:tc>
          <w:tcPr>
            <w:tcW w:w="0" w:type="auto"/>
            <w:tcMar>
              <w:top w:w="120" w:type="dxa"/>
              <w:left w:w="240" w:type="dxa"/>
              <w:bottom w:w="240" w:type="dxa"/>
              <w:right w:w="240" w:type="dxa"/>
            </w:tcMar>
            <w:vAlign w:val="center"/>
            <w:hideMark/>
          </w:tcPr>
          <w:p w14:paraId="455338A0"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Bus Insurance</w:t>
            </w:r>
          </w:p>
        </w:tc>
        <w:tc>
          <w:tcPr>
            <w:tcW w:w="0" w:type="auto"/>
            <w:tcMar>
              <w:top w:w="240" w:type="dxa"/>
              <w:left w:w="240" w:type="dxa"/>
              <w:bottom w:w="120" w:type="dxa"/>
              <w:right w:w="240" w:type="dxa"/>
            </w:tcMar>
            <w:vAlign w:val="center"/>
            <w:hideMark/>
          </w:tcPr>
          <w:p w14:paraId="24B02141"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12.5%</w:t>
            </w:r>
          </w:p>
        </w:tc>
      </w:tr>
      <w:tr w:rsidR="002834F1" w:rsidRPr="002834F1" w14:paraId="58E474D5"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3F02BEBD"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Enterprise</w:t>
            </w:r>
          </w:p>
        </w:tc>
        <w:tc>
          <w:tcPr>
            <w:tcW w:w="0" w:type="auto"/>
            <w:shd w:val="clear" w:color="auto" w:fill="F0F0F0"/>
            <w:tcMar>
              <w:top w:w="240" w:type="dxa"/>
              <w:left w:w="240" w:type="dxa"/>
              <w:bottom w:w="120" w:type="dxa"/>
              <w:right w:w="240" w:type="dxa"/>
            </w:tcMar>
            <w:vAlign w:val="center"/>
            <w:hideMark/>
          </w:tcPr>
          <w:p w14:paraId="675C3EDC"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20%</w:t>
            </w:r>
          </w:p>
        </w:tc>
      </w:tr>
      <w:tr w:rsidR="002834F1" w:rsidRPr="002834F1" w14:paraId="7095D914" w14:textId="77777777" w:rsidTr="002834F1">
        <w:trPr>
          <w:tblCellSpacing w:w="15" w:type="dxa"/>
        </w:trPr>
        <w:tc>
          <w:tcPr>
            <w:tcW w:w="0" w:type="auto"/>
            <w:tcMar>
              <w:top w:w="120" w:type="dxa"/>
              <w:left w:w="240" w:type="dxa"/>
              <w:bottom w:w="240" w:type="dxa"/>
              <w:right w:w="240" w:type="dxa"/>
            </w:tcMar>
            <w:vAlign w:val="center"/>
            <w:hideMark/>
          </w:tcPr>
          <w:p w14:paraId="4F62F355"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Farm</w:t>
            </w:r>
          </w:p>
        </w:tc>
        <w:tc>
          <w:tcPr>
            <w:tcW w:w="0" w:type="auto"/>
            <w:tcMar>
              <w:top w:w="240" w:type="dxa"/>
              <w:left w:w="240" w:type="dxa"/>
              <w:bottom w:w="120" w:type="dxa"/>
              <w:right w:w="240" w:type="dxa"/>
            </w:tcMar>
            <w:vAlign w:val="center"/>
            <w:hideMark/>
          </w:tcPr>
          <w:p w14:paraId="221DE98F"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17.5%</w:t>
            </w:r>
          </w:p>
        </w:tc>
      </w:tr>
      <w:tr w:rsidR="002834F1" w:rsidRPr="002834F1" w14:paraId="69332616"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3FB5D511"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Fleet Insurance</w:t>
            </w:r>
          </w:p>
        </w:tc>
        <w:tc>
          <w:tcPr>
            <w:tcW w:w="0" w:type="auto"/>
            <w:shd w:val="clear" w:color="auto" w:fill="F0F0F0"/>
            <w:tcMar>
              <w:top w:w="240" w:type="dxa"/>
              <w:left w:w="240" w:type="dxa"/>
              <w:bottom w:w="120" w:type="dxa"/>
              <w:right w:w="240" w:type="dxa"/>
            </w:tcMar>
            <w:vAlign w:val="center"/>
            <w:hideMark/>
          </w:tcPr>
          <w:p w14:paraId="3DBBD04E"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12.5%</w:t>
            </w:r>
          </w:p>
        </w:tc>
      </w:tr>
      <w:tr w:rsidR="002834F1" w:rsidRPr="002834F1" w14:paraId="0C1CB6B9" w14:textId="77777777" w:rsidTr="002834F1">
        <w:trPr>
          <w:tblCellSpacing w:w="15" w:type="dxa"/>
        </w:trPr>
        <w:tc>
          <w:tcPr>
            <w:tcW w:w="0" w:type="auto"/>
            <w:tcMar>
              <w:top w:w="120" w:type="dxa"/>
              <w:left w:w="240" w:type="dxa"/>
              <w:bottom w:w="240" w:type="dxa"/>
              <w:right w:w="240" w:type="dxa"/>
            </w:tcMar>
            <w:vAlign w:val="center"/>
            <w:hideMark/>
          </w:tcPr>
          <w:p w14:paraId="6A490D74"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Portfolio</w:t>
            </w:r>
          </w:p>
        </w:tc>
        <w:tc>
          <w:tcPr>
            <w:tcW w:w="0" w:type="auto"/>
            <w:tcMar>
              <w:top w:w="240" w:type="dxa"/>
              <w:left w:w="240" w:type="dxa"/>
              <w:bottom w:w="120" w:type="dxa"/>
              <w:right w:w="240" w:type="dxa"/>
            </w:tcMar>
            <w:vAlign w:val="center"/>
            <w:hideMark/>
          </w:tcPr>
          <w:p w14:paraId="0F9617D3"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20%</w:t>
            </w:r>
          </w:p>
        </w:tc>
      </w:tr>
      <w:tr w:rsidR="002834F1" w:rsidRPr="002834F1" w14:paraId="5E597F32"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449A8C1B"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lastRenderedPageBreak/>
              <w:t>Property Owners</w:t>
            </w:r>
          </w:p>
        </w:tc>
        <w:tc>
          <w:tcPr>
            <w:tcW w:w="0" w:type="auto"/>
            <w:shd w:val="clear" w:color="auto" w:fill="F0F0F0"/>
            <w:tcMar>
              <w:top w:w="240" w:type="dxa"/>
              <w:left w:w="240" w:type="dxa"/>
              <w:bottom w:w="120" w:type="dxa"/>
              <w:right w:w="240" w:type="dxa"/>
            </w:tcMar>
            <w:vAlign w:val="center"/>
            <w:hideMark/>
          </w:tcPr>
          <w:p w14:paraId="77FDCAC9"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20%</w:t>
            </w:r>
          </w:p>
        </w:tc>
      </w:tr>
      <w:tr w:rsidR="002834F1" w:rsidRPr="002834F1" w14:paraId="6FCFD43C" w14:textId="77777777" w:rsidTr="002834F1">
        <w:trPr>
          <w:tblCellSpacing w:w="15" w:type="dxa"/>
        </w:trPr>
        <w:tc>
          <w:tcPr>
            <w:tcW w:w="0" w:type="auto"/>
            <w:tcMar>
              <w:top w:w="120" w:type="dxa"/>
              <w:left w:w="240" w:type="dxa"/>
              <w:bottom w:w="240" w:type="dxa"/>
              <w:right w:w="240" w:type="dxa"/>
            </w:tcMar>
            <w:vAlign w:val="center"/>
            <w:hideMark/>
          </w:tcPr>
          <w:p w14:paraId="2A719CDF"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Services Protect Insurance</w:t>
            </w:r>
          </w:p>
        </w:tc>
        <w:tc>
          <w:tcPr>
            <w:tcW w:w="0" w:type="auto"/>
            <w:tcMar>
              <w:top w:w="240" w:type="dxa"/>
              <w:left w:w="240" w:type="dxa"/>
              <w:bottom w:w="120" w:type="dxa"/>
              <w:right w:w="240" w:type="dxa"/>
            </w:tcMar>
            <w:vAlign w:val="center"/>
            <w:hideMark/>
          </w:tcPr>
          <w:p w14:paraId="639BEC94"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22.5%</w:t>
            </w:r>
          </w:p>
        </w:tc>
      </w:tr>
      <w:tr w:rsidR="002834F1" w:rsidRPr="002834F1" w14:paraId="2EFBB2A5" w14:textId="77777777" w:rsidTr="002834F1">
        <w:trPr>
          <w:tblCellSpacing w:w="15" w:type="dxa"/>
        </w:trPr>
        <w:tc>
          <w:tcPr>
            <w:tcW w:w="0" w:type="auto"/>
            <w:shd w:val="clear" w:color="auto" w:fill="F0F0F0"/>
            <w:tcMar>
              <w:top w:w="120" w:type="dxa"/>
              <w:left w:w="240" w:type="dxa"/>
              <w:bottom w:w="240" w:type="dxa"/>
              <w:right w:w="240" w:type="dxa"/>
            </w:tcMar>
            <w:vAlign w:val="center"/>
            <w:hideMark/>
          </w:tcPr>
          <w:p w14:paraId="130E0646"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Shop/Office/Surgery</w:t>
            </w:r>
          </w:p>
        </w:tc>
        <w:tc>
          <w:tcPr>
            <w:tcW w:w="0" w:type="auto"/>
            <w:shd w:val="clear" w:color="auto" w:fill="F0F0F0"/>
            <w:tcMar>
              <w:top w:w="240" w:type="dxa"/>
              <w:left w:w="240" w:type="dxa"/>
              <w:bottom w:w="120" w:type="dxa"/>
              <w:right w:w="240" w:type="dxa"/>
            </w:tcMar>
            <w:vAlign w:val="center"/>
            <w:hideMark/>
          </w:tcPr>
          <w:p w14:paraId="1C13644E"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22.5%</w:t>
            </w:r>
          </w:p>
        </w:tc>
      </w:tr>
      <w:tr w:rsidR="002834F1" w:rsidRPr="002834F1" w14:paraId="4590B4AC" w14:textId="77777777" w:rsidTr="002834F1">
        <w:trPr>
          <w:tblCellSpacing w:w="15" w:type="dxa"/>
        </w:trPr>
        <w:tc>
          <w:tcPr>
            <w:tcW w:w="0" w:type="auto"/>
            <w:tcMar>
              <w:top w:w="120" w:type="dxa"/>
              <w:left w:w="240" w:type="dxa"/>
              <w:bottom w:w="240" w:type="dxa"/>
              <w:right w:w="240" w:type="dxa"/>
            </w:tcMar>
            <w:vAlign w:val="center"/>
            <w:hideMark/>
          </w:tcPr>
          <w:p w14:paraId="09012129" w14:textId="77777777" w:rsidR="002834F1" w:rsidRPr="002834F1" w:rsidRDefault="002834F1" w:rsidP="002834F1">
            <w:pPr>
              <w:spacing w:after="0" w:line="240" w:lineRule="auto"/>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Tradesmen and Professionals</w:t>
            </w:r>
          </w:p>
        </w:tc>
        <w:tc>
          <w:tcPr>
            <w:tcW w:w="0" w:type="auto"/>
            <w:tcMar>
              <w:top w:w="240" w:type="dxa"/>
              <w:left w:w="240" w:type="dxa"/>
              <w:bottom w:w="120" w:type="dxa"/>
              <w:right w:w="240" w:type="dxa"/>
            </w:tcMar>
            <w:vAlign w:val="center"/>
            <w:hideMark/>
          </w:tcPr>
          <w:p w14:paraId="0B61E4BC" w14:textId="77777777" w:rsidR="002834F1" w:rsidRPr="002834F1" w:rsidRDefault="002834F1" w:rsidP="002834F1">
            <w:pPr>
              <w:spacing w:after="0" w:line="240" w:lineRule="auto"/>
              <w:jc w:val="center"/>
              <w:rPr>
                <w:rFonts w:ascii="Times New Roman" w:eastAsia="Times New Roman" w:hAnsi="Times New Roman" w:cs="Times New Roman"/>
                <w:kern w:val="0"/>
                <w:sz w:val="24"/>
                <w:szCs w:val="24"/>
                <w:lang w:eastAsia="en-IE"/>
                <w14:ligatures w14:val="none"/>
              </w:rPr>
            </w:pPr>
            <w:r w:rsidRPr="002834F1">
              <w:rPr>
                <w:rFonts w:ascii="Times New Roman" w:eastAsia="Times New Roman" w:hAnsi="Times New Roman" w:cs="Times New Roman"/>
                <w:kern w:val="0"/>
                <w:sz w:val="24"/>
                <w:szCs w:val="24"/>
                <w:lang w:eastAsia="en-IE"/>
                <w14:ligatures w14:val="none"/>
              </w:rPr>
              <w:t>20%</w:t>
            </w:r>
          </w:p>
        </w:tc>
      </w:tr>
    </w:tbl>
    <w:p w14:paraId="59E7DEBB" w14:textId="77777777" w:rsidR="001238E3" w:rsidRDefault="001238E3"/>
    <w:sectPr w:rsidR="001238E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Gilroy-Heavy">
    <w:altName w:val="Cambria"/>
    <w:panose1 w:val="00000000000000000000"/>
    <w:charset w:val="00"/>
    <w:family w:val="roman"/>
    <w:notTrueType/>
    <w:pitch w:val="default"/>
  </w:font>
  <w:font w:name="Gilroy-Regular">
    <w:altName w:val="Cambria"/>
    <w:panose1 w:val="00000000000000000000"/>
    <w:charset w:val="00"/>
    <w:family w:val="roman"/>
    <w:notTrueType/>
    <w:pitch w:val="default"/>
  </w:font>
  <w:font w:name="Gilroy-Bold">
    <w:altName w:val="Cambria"/>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4F1"/>
    <w:rsid w:val="001238E3"/>
    <w:rsid w:val="002834F1"/>
    <w:rsid w:val="00D84D1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4F1D7"/>
  <w15:chartTrackingRefBased/>
  <w15:docId w15:val="{FE7D2E0E-6B02-4F6C-9980-8822B21C4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34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4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4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4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4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4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4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4F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4F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34F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34F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34F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34F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34F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34F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34F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34F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34F1"/>
    <w:rPr>
      <w:rFonts w:eastAsiaTheme="majorEastAsia" w:cstheme="majorBidi"/>
      <w:color w:val="272727" w:themeColor="text1" w:themeTint="D8"/>
    </w:rPr>
  </w:style>
  <w:style w:type="paragraph" w:styleId="Title">
    <w:name w:val="Title"/>
    <w:basedOn w:val="Normal"/>
    <w:next w:val="Normal"/>
    <w:link w:val="TitleChar"/>
    <w:uiPriority w:val="10"/>
    <w:qFormat/>
    <w:rsid w:val="002834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34F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34F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34F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34F1"/>
    <w:pPr>
      <w:spacing w:before="160"/>
      <w:jc w:val="center"/>
    </w:pPr>
    <w:rPr>
      <w:i/>
      <w:iCs/>
      <w:color w:val="404040" w:themeColor="text1" w:themeTint="BF"/>
    </w:rPr>
  </w:style>
  <w:style w:type="character" w:customStyle="1" w:styleId="QuoteChar">
    <w:name w:val="Quote Char"/>
    <w:basedOn w:val="DefaultParagraphFont"/>
    <w:link w:val="Quote"/>
    <w:uiPriority w:val="29"/>
    <w:rsid w:val="002834F1"/>
    <w:rPr>
      <w:i/>
      <w:iCs/>
      <w:color w:val="404040" w:themeColor="text1" w:themeTint="BF"/>
    </w:rPr>
  </w:style>
  <w:style w:type="paragraph" w:styleId="ListParagraph">
    <w:name w:val="List Paragraph"/>
    <w:basedOn w:val="Normal"/>
    <w:uiPriority w:val="34"/>
    <w:qFormat/>
    <w:rsid w:val="002834F1"/>
    <w:pPr>
      <w:ind w:left="720"/>
      <w:contextualSpacing/>
    </w:pPr>
  </w:style>
  <w:style w:type="character" w:styleId="IntenseEmphasis">
    <w:name w:val="Intense Emphasis"/>
    <w:basedOn w:val="DefaultParagraphFont"/>
    <w:uiPriority w:val="21"/>
    <w:qFormat/>
    <w:rsid w:val="002834F1"/>
    <w:rPr>
      <w:i/>
      <w:iCs/>
      <w:color w:val="0F4761" w:themeColor="accent1" w:themeShade="BF"/>
    </w:rPr>
  </w:style>
  <w:style w:type="paragraph" w:styleId="IntenseQuote">
    <w:name w:val="Intense Quote"/>
    <w:basedOn w:val="Normal"/>
    <w:next w:val="Normal"/>
    <w:link w:val="IntenseQuoteChar"/>
    <w:uiPriority w:val="30"/>
    <w:qFormat/>
    <w:rsid w:val="002834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34F1"/>
    <w:rPr>
      <w:i/>
      <w:iCs/>
      <w:color w:val="0F4761" w:themeColor="accent1" w:themeShade="BF"/>
    </w:rPr>
  </w:style>
  <w:style w:type="character" w:styleId="IntenseReference">
    <w:name w:val="Intense Reference"/>
    <w:basedOn w:val="DefaultParagraphFont"/>
    <w:uiPriority w:val="32"/>
    <w:qFormat/>
    <w:rsid w:val="002834F1"/>
    <w:rPr>
      <w:b/>
      <w:bCs/>
      <w:smallCaps/>
      <w:color w:val="0F4761" w:themeColor="accent1" w:themeShade="BF"/>
      <w:spacing w:val="5"/>
    </w:rPr>
  </w:style>
  <w:style w:type="paragraph" w:styleId="NoSpacing">
    <w:name w:val="No Spacing"/>
    <w:uiPriority w:val="1"/>
    <w:qFormat/>
    <w:rsid w:val="002834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3669176">
      <w:bodyDiv w:val="1"/>
      <w:marLeft w:val="0"/>
      <w:marRight w:val="0"/>
      <w:marTop w:val="0"/>
      <w:marBottom w:val="0"/>
      <w:divBdr>
        <w:top w:val="none" w:sz="0" w:space="0" w:color="auto"/>
        <w:left w:val="none" w:sz="0" w:space="0" w:color="auto"/>
        <w:bottom w:val="none" w:sz="0" w:space="0" w:color="auto"/>
        <w:right w:val="none" w:sz="0" w:space="0" w:color="auto"/>
      </w:divBdr>
      <w:divsChild>
        <w:div w:id="3510799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110</Words>
  <Characters>627</Characters>
  <Application>Microsoft Office Word</Application>
  <DocSecurity>0</DocSecurity>
  <Lines>5</Lines>
  <Paragraphs>1</Paragraphs>
  <ScaleCrop>false</ScaleCrop>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Odhran O'Mahony</dc:creator>
  <cp:keywords/>
  <dc:description/>
  <cp:lastModifiedBy>Odhran O'Mahony</cp:lastModifiedBy>
  <cp:revision>1</cp:revision>
  <dcterms:created xsi:type="dcterms:W3CDTF">2025-01-29T12:45:00Z</dcterms:created>
  <dcterms:modified xsi:type="dcterms:W3CDTF">2025-01-29T12:47:00Z</dcterms:modified>
</cp:coreProperties>
</file>